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b w:val="1"/>
          <w:bCs w:val="1"/>
          <w:sz w:val="22"/>
          <w:szCs w:val="22"/>
        </w:rPr>
      </w:pPr>
      <w:r w:rsidDel="00000000" w:rsidR="00000000" w:rsidRPr="00000000">
        <w:rPr>
          <w:b w:val="1"/>
          <w:bCs w:val="1"/>
          <w:sz w:val="22"/>
          <w:szCs w:val="22"/>
          <w:rtl w:val="0"/>
        </w:rPr>
        <w:t xml:space="preserve">FORMULARUL ZONELOR PRIORITARE PENTRU BIODIVERSITATE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Rule="auto"/>
        <w:rPr>
          <w:color w:val="000000"/>
        </w:rPr>
      </w:pPr>
      <w:r w:rsidDel="00000000" w:rsidR="00000000" w:rsidRPr="00000000">
        <w:rPr>
          <w:color w:val="000000"/>
          <w:sz w:val="22"/>
          <w:szCs w:val="22"/>
          <w:rtl w:val="0"/>
        </w:rPr>
        <w:t xml:space="preserve">ROSAC0007ZPB</w:t>
      </w:r>
      <w:r w:rsidDel="00000000" w:rsidR="00000000" w:rsidRPr="00000000">
        <w:rPr>
          <w:rtl w:val="0"/>
        </w:rPr>
      </w:r>
    </w:p>
    <w:p w:rsidR="00000000" w:rsidDel="00000000" w:rsidP="00000000" w:rsidRDefault="00000000" w:rsidRPr="00000000" w14:paraId="00000007">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spacing w:before="24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Bazinul Ciucului de Jos</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B">
      <w:pPr>
        <w:rPr/>
      </w:pPr>
      <w:sdt>
        <w:sdtPr>
          <w:id w:val="591852103"/>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Arie naturală protejată</w:t>
      </w:r>
      <w:r w:rsidDel="00000000" w:rsidR="00000000" w:rsidRPr="00000000">
        <w:rPr>
          <w:rtl w:val="0"/>
        </w:rPr>
      </w:r>
    </w:p>
    <w:p w:rsidR="00000000" w:rsidDel="00000000" w:rsidP="00000000" w:rsidRDefault="00000000" w:rsidRPr="00000000" w14:paraId="0000000C">
      <w:pPr>
        <w:rPr/>
      </w:pPr>
      <w:sdt>
        <w:sdtPr>
          <w:id w:val="-781243097"/>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188307238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E">
            <w:pPr>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b w:val="1"/>
          <w:bCs w:val="1"/>
          <w:sz w:val="22"/>
          <w:szCs w:val="22"/>
        </w:rPr>
      </w:pPr>
      <w:r w:rsidDel="00000000" w:rsidR="00000000" w:rsidRPr="00000000">
        <w:rPr>
          <w:rtl w:val="0"/>
        </w:rPr>
      </w:r>
    </w:p>
    <w:p w:rsidR="00000000" w:rsidDel="00000000" w:rsidP="00000000" w:rsidRDefault="00000000" w:rsidRPr="00000000" w14:paraId="00000047">
      <w:pPr>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48">
      <w:pPr>
        <w:jc w:val="cente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54,65</w:t>
      </w:r>
      <w:r w:rsidDel="00000000" w:rsidR="00000000" w:rsidRPr="00000000">
        <w:rPr>
          <w:rtl w:val="0"/>
        </w:rPr>
      </w:r>
    </w:p>
    <w:p w:rsidR="00000000" w:rsidDel="00000000" w:rsidP="00000000" w:rsidRDefault="00000000" w:rsidRPr="00000000" w14:paraId="0000004B">
      <w:pPr>
        <w:rPr>
          <w:b w:val="1"/>
          <w:bCs w:val="1"/>
          <w:sz w:val="22"/>
          <w:szCs w:val="22"/>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1,98%</w:t>
      </w:r>
      <w:r w:rsidDel="00000000" w:rsidR="00000000" w:rsidRPr="00000000">
        <w:rPr>
          <w:rtl w:val="0"/>
        </w:rPr>
      </w:r>
    </w:p>
    <w:p w:rsidR="00000000" w:rsidDel="00000000" w:rsidP="00000000" w:rsidRDefault="00000000" w:rsidRPr="00000000" w14:paraId="0000004E">
      <w:pPr>
        <w:rPr>
          <w:b w:val="1"/>
          <w:bCs w:val="1"/>
          <w:sz w:val="22"/>
          <w:szCs w:val="22"/>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RO12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Centru</w:t>
            </w:r>
            <w:r w:rsidDel="00000000" w:rsidR="00000000" w:rsidRPr="00000000">
              <w:rPr>
                <w:rtl w:val="0"/>
              </w:rPr>
            </w:r>
          </w:p>
        </w:tc>
      </w:tr>
    </w:tbl>
    <w:p w:rsidR="00000000" w:rsidDel="00000000" w:rsidP="00000000" w:rsidRDefault="00000000" w:rsidRPr="00000000" w14:paraId="00000056">
      <w:pPr>
        <w:rPr>
          <w:sz w:val="22"/>
          <w:szCs w:val="22"/>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Harghita</w:t>
      </w:r>
      <w:r w:rsidDel="00000000" w:rsidR="00000000" w:rsidRPr="00000000">
        <w:rPr>
          <w:rtl w:val="0"/>
        </w:rPr>
      </w:r>
    </w:p>
    <w:p w:rsidR="00000000" w:rsidDel="00000000" w:rsidP="00000000" w:rsidRDefault="00000000" w:rsidRPr="00000000" w14:paraId="00000059">
      <w:pPr>
        <w:rPr>
          <w:b w:val="1"/>
          <w:bCs w:val="1"/>
          <w:sz w:val="22"/>
          <w:szCs w:val="22"/>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 </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sdt>
              <w:sdtPr>
                <w:id w:val="-920663998"/>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sdt>
              <w:sdtPr>
                <w:id w:val="-110413534"/>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sdt>
              <w:sdtPr>
                <w:id w:val="207046189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sdt>
              <w:sdtPr>
                <w:id w:val="180191107"/>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sdt>
              <w:sdtPr>
                <w:id w:val="-1551639943"/>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7">
      <w:pPr>
        <w:rPr>
          <w:b w:val="1"/>
          <w:bCs w:val="1"/>
          <w:sz w:val="22"/>
          <w:szCs w:val="22"/>
        </w:rPr>
      </w:pP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1</w:t>
      </w:r>
    </w:p>
    <w:p w:rsidR="00000000" w:rsidDel="00000000" w:rsidP="00000000" w:rsidRDefault="00000000" w:rsidRPr="00000000" w14:paraId="0000006A">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F">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54,65</w:t>
      </w:r>
      <w:r w:rsidDel="00000000" w:rsidR="00000000" w:rsidRPr="00000000">
        <w:rPr>
          <w:rtl w:val="0"/>
        </w:rPr>
      </w:r>
    </w:p>
    <w:p w:rsidR="00000000" w:rsidDel="00000000" w:rsidP="00000000" w:rsidRDefault="00000000" w:rsidRPr="00000000" w14:paraId="00000071">
      <w:pPr>
        <w:rPr>
          <w:sz w:val="22"/>
          <w:szCs w:val="22"/>
        </w:rPr>
      </w:pP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bookmarkStart w:colFirst="0" w:colLast="0" w:name="_heading=h.3iemmnob1z3" w:id="0"/>
      <w:bookmarkEnd w:id="0"/>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RONPA0489 Mlaștina Valea de Mijloc, RONPA0490 Mlaștina Beneș, RONPA0493 Mlaștina Nadas, RONPA0495 Mlaștina Borșaroș – Sâncrăieni, RONPA0507 Mlaștina Nyirkert, RONPA0509 Mlaștina Csemo – Vrabia;</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Ordinul ministrului mediului, apelor și pădurilor nr. 1287/2015 privind aprobarea Planului de management al sitului de importanță comunitară ROSCI0007 Bazinul Ciucului de Jos;</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7">
      <w:pPr>
        <w:spacing w:before="240" w:lineRule="auto"/>
        <w:rPr/>
      </w:pPr>
      <w:r w:rsidDel="00000000" w:rsidR="00000000" w:rsidRPr="00000000">
        <w:rPr>
          <w:sz w:val="22"/>
          <w:szCs w:val="22"/>
          <w:rtl w:val="0"/>
        </w:rPr>
        <w:t xml:space="preserve">Informația ecologică</w:t>
      </w:r>
      <w:r w:rsidDel="00000000" w:rsidR="00000000" w:rsidRPr="00000000">
        <w:rPr>
          <w:rtl w:val="0"/>
        </w:rPr>
      </w:r>
    </w:p>
    <w:tbl>
      <w:tblPr>
        <w:tblStyle w:val="Table8"/>
        <w:tblW w:w="8970.0" w:type="dxa"/>
        <w:jc w:val="left"/>
        <w:tblInd w:w="10.0" w:type="dxa"/>
        <w:tblLayout w:type="fixed"/>
        <w:tblLook w:val="0000"/>
      </w:tblPr>
      <w:tblGrid>
        <w:gridCol w:w="1950"/>
        <w:gridCol w:w="7020"/>
        <w:tblGridChange w:id="0">
          <w:tblGrid>
            <w:gridCol w:w="1950"/>
            <w:gridCol w:w="702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C">
            <w:pPr>
              <w:spacing w:after="0" w:lineRule="auto"/>
              <w:jc w:val="both"/>
              <w:rPr>
                <w:sz w:val="22"/>
                <w:szCs w:val="22"/>
              </w:rPr>
            </w:pPr>
            <w:r w:rsidDel="00000000" w:rsidR="00000000" w:rsidRPr="00000000">
              <w:rPr>
                <w:sz w:val="22"/>
                <w:szCs w:val="22"/>
                <w:rtl w:val="0"/>
              </w:rPr>
              <w:t xml:space="preserve">91E0* Păduri aluviale cu Alnus glutinosa și Fraxinus excelsior (Alno-Padion, Alnion incanae, Salicion albae)</w:t>
            </w:r>
          </w:p>
          <w:p w:rsidR="00000000" w:rsidDel="00000000" w:rsidP="00000000" w:rsidRDefault="00000000" w:rsidRPr="00000000" w14:paraId="0000007D">
            <w:pPr>
              <w:spacing w:after="0" w:lineRule="auto"/>
              <w:jc w:val="both"/>
              <w:rPr>
                <w:b w:val="1"/>
                <w:bCs w:val="1"/>
                <w:sz w:val="22"/>
                <w:szCs w:val="22"/>
              </w:rPr>
            </w:pPr>
            <w:r w:rsidDel="00000000" w:rsidR="00000000" w:rsidRPr="00000000">
              <w:rPr>
                <w:b w:val="1"/>
                <w:bCs w:val="1"/>
                <w:sz w:val="22"/>
                <w:szCs w:val="22"/>
                <w:rtl w:val="0"/>
              </w:rPr>
              <w:t xml:space="preserve">Habitate de turbării acide:</w:t>
            </w:r>
          </w:p>
          <w:p w:rsidR="00000000" w:rsidDel="00000000" w:rsidP="00000000" w:rsidRDefault="00000000" w:rsidRPr="00000000" w14:paraId="0000007E">
            <w:pPr>
              <w:spacing w:after="0" w:lineRule="auto"/>
              <w:jc w:val="both"/>
              <w:rPr>
                <w:sz w:val="22"/>
                <w:szCs w:val="22"/>
              </w:rPr>
            </w:pPr>
            <w:r w:rsidDel="00000000" w:rsidR="00000000" w:rsidRPr="00000000">
              <w:rPr>
                <w:sz w:val="22"/>
                <w:szCs w:val="22"/>
                <w:rtl w:val="0"/>
              </w:rPr>
              <w:t xml:space="preserve">7140 Mlaştini turboase de tranziţie şi turbării mişcătoare </w:t>
            </w:r>
          </w:p>
          <w:p w:rsidR="00000000" w:rsidDel="00000000" w:rsidP="00000000" w:rsidRDefault="00000000" w:rsidRPr="00000000" w14:paraId="0000007F">
            <w:pPr>
              <w:spacing w:after="0" w:lineRule="auto"/>
              <w:jc w:val="both"/>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80">
            <w:pPr>
              <w:spacing w:after="0" w:lineRule="auto"/>
              <w:jc w:val="both"/>
              <w:rPr>
                <w:sz w:val="22"/>
                <w:szCs w:val="22"/>
              </w:rPr>
            </w:pPr>
            <w:r w:rsidDel="00000000" w:rsidR="00000000" w:rsidRPr="00000000">
              <w:rPr>
                <w:sz w:val="22"/>
                <w:szCs w:val="22"/>
                <w:rtl w:val="0"/>
              </w:rPr>
              <w:t xml:space="preserve">7230 Mlaştini alcaline </w:t>
            </w:r>
          </w:p>
          <w:p w:rsidR="00000000" w:rsidDel="00000000" w:rsidP="00000000" w:rsidRDefault="00000000" w:rsidRPr="00000000" w14:paraId="00000081">
            <w:pPr>
              <w:spacing w:after="0" w:lineRule="auto"/>
              <w:jc w:val="both"/>
              <w:rPr>
                <w:b w:val="1"/>
                <w:bCs w:val="1"/>
                <w:sz w:val="22"/>
                <w:szCs w:val="22"/>
              </w:rPr>
            </w:pPr>
            <w:r w:rsidDel="00000000" w:rsidR="00000000" w:rsidRPr="00000000">
              <w:rPr>
                <w:b w:val="1"/>
                <w:bCs w:val="1"/>
                <w:sz w:val="22"/>
                <w:szCs w:val="22"/>
                <w:rtl w:val="0"/>
              </w:rPr>
              <w:t xml:space="preserve">Habitate de pajiști umede seminaturale:</w:t>
            </w:r>
          </w:p>
          <w:p w:rsidR="00000000" w:rsidDel="00000000" w:rsidP="00000000" w:rsidRDefault="00000000" w:rsidRPr="00000000" w14:paraId="00000082">
            <w:pPr>
              <w:spacing w:after="0" w:lineRule="auto"/>
              <w:jc w:val="both"/>
              <w:rPr>
                <w:sz w:val="22"/>
                <w:szCs w:val="22"/>
              </w:rPr>
            </w:pPr>
            <w:r w:rsidDel="00000000" w:rsidR="00000000" w:rsidRPr="00000000">
              <w:rPr>
                <w:sz w:val="22"/>
                <w:szCs w:val="22"/>
                <w:rtl w:val="0"/>
              </w:rPr>
              <w:t xml:space="preserve">6430 Comunități de lizieră cu ierburi înalte higrofile de la câmpie până în etajele montan și alpin</w:t>
            </w:r>
          </w:p>
          <w:p w:rsidR="00000000" w:rsidDel="00000000" w:rsidP="00000000" w:rsidRDefault="00000000" w:rsidRPr="00000000" w14:paraId="00000083">
            <w:pPr>
              <w:spacing w:after="0" w:lineRule="auto"/>
              <w:jc w:val="both"/>
              <w:rPr>
                <w:b w:val="1"/>
                <w:bCs w:val="1"/>
                <w:sz w:val="22"/>
                <w:szCs w:val="22"/>
              </w:rPr>
            </w:pPr>
            <w:r w:rsidDel="00000000" w:rsidR="00000000" w:rsidRPr="00000000">
              <w:rPr>
                <w:sz w:val="22"/>
                <w:szCs w:val="22"/>
                <w:rtl w:val="0"/>
              </w:rPr>
              <w:t xml:space="preserve">6440 Pajiști aluviale din Cnidion dubii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spacing w:after="0" w:lineRule="auto"/>
              <w:rPr>
                <w:i w:val="1"/>
                <w:iCs w:val="1"/>
                <w:sz w:val="22"/>
                <w:szCs w:val="22"/>
              </w:rPr>
            </w:pPr>
            <w:r w:rsidDel="00000000" w:rsidR="00000000" w:rsidRPr="00000000">
              <w:rPr>
                <w:b w:val="1"/>
                <w:bCs w:val="1"/>
                <w:i w:val="1"/>
                <w:iCs w:val="1"/>
                <w:sz w:val="22"/>
                <w:szCs w:val="22"/>
                <w:rtl w:val="0"/>
              </w:rPr>
              <w:t xml:space="preserve">Mamifere</w:t>
            </w:r>
            <w:r w:rsidDel="00000000" w:rsidR="00000000" w:rsidRPr="00000000">
              <w:rPr>
                <w:i w:val="1"/>
                <w:iCs w:val="1"/>
                <w:sz w:val="22"/>
                <w:szCs w:val="22"/>
                <w:rtl w:val="0"/>
              </w:rPr>
              <w:t xml:space="preserv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1323 Myotis blythii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1354* Ursus arctos</w:t>
            </w:r>
          </w:p>
          <w:p w:rsidR="00000000" w:rsidDel="00000000" w:rsidP="00000000" w:rsidRDefault="00000000" w:rsidRPr="00000000" w14:paraId="0000008A">
            <w:pPr>
              <w:spacing w:after="0" w:lineRule="auto"/>
              <w:rPr>
                <w:i w:val="1"/>
                <w:iCs w:val="1"/>
                <w:sz w:val="22"/>
                <w:szCs w:val="22"/>
              </w:rPr>
            </w:pPr>
            <w:r w:rsidDel="00000000" w:rsidR="00000000" w:rsidRPr="00000000">
              <w:rPr>
                <w:b w:val="1"/>
                <w:bCs w:val="1"/>
                <w:i w:val="1"/>
                <w:i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D">
            <w:pPr>
              <w:spacing w:after="0" w:lineRule="auto"/>
              <w:rPr>
                <w:i w:val="1"/>
                <w:iCs w:val="1"/>
                <w:sz w:val="22"/>
                <w:szCs w:val="22"/>
              </w:rPr>
            </w:pPr>
            <w:r w:rsidDel="00000000" w:rsidR="00000000" w:rsidRPr="00000000">
              <w:rPr>
                <w:b w:val="1"/>
                <w:bCs w:val="1"/>
                <w:i w:val="1"/>
                <w:iCs w:val="1"/>
                <w:sz w:val="22"/>
                <w:szCs w:val="22"/>
                <w:rtl w:val="0"/>
              </w:rPr>
              <w:t xml:space="preserve">Moluște</w:t>
            </w:r>
            <w:r w:rsidDel="00000000" w:rsidR="00000000" w:rsidRPr="00000000">
              <w:rPr>
                <w:i w:val="1"/>
                <w:iCs w:val="1"/>
                <w:sz w:val="22"/>
                <w:szCs w:val="22"/>
                <w:rtl w:val="0"/>
              </w:rPr>
              <w:t xml:space="preserve">:</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1014 Vertigo angustior</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1016 Vertigo moulinsiana</w:t>
            </w:r>
          </w:p>
          <w:p w:rsidR="00000000" w:rsidDel="00000000" w:rsidP="00000000" w:rsidRDefault="00000000" w:rsidRPr="00000000" w14:paraId="00000090">
            <w:pPr>
              <w:spacing w:after="0" w:lineRule="auto"/>
              <w:rPr>
                <w:i w:val="1"/>
                <w:iCs w:val="1"/>
                <w:sz w:val="22"/>
                <w:szCs w:val="22"/>
              </w:rPr>
            </w:pPr>
            <w:r w:rsidDel="00000000" w:rsidR="00000000" w:rsidRPr="00000000">
              <w:rPr>
                <w:b w:val="1"/>
                <w:bCs w:val="1"/>
                <w:i w:val="1"/>
                <w:iCs w:val="1"/>
                <w:sz w:val="22"/>
                <w:szCs w:val="22"/>
                <w:rtl w:val="0"/>
              </w:rPr>
              <w:t xml:space="preserve">Plante</w:t>
            </w:r>
            <w:r w:rsidDel="00000000" w:rsidR="00000000" w:rsidRPr="00000000">
              <w:rPr>
                <w:i w:val="1"/>
                <w:iCs w:val="1"/>
                <w:sz w:val="22"/>
                <w:szCs w:val="22"/>
                <w:rtl w:val="0"/>
              </w:rPr>
              <w:t xml:space="preserve">:</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1617 Angelica palustris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1758 Ligularia sibirica</w:t>
            </w:r>
          </w:p>
          <w:p w:rsidR="00000000" w:rsidDel="00000000" w:rsidP="00000000" w:rsidRDefault="00000000" w:rsidRPr="00000000" w14:paraId="00000093">
            <w:pPr>
              <w:spacing w:after="0" w:lineRule="auto"/>
              <w:rPr>
                <w:i w:val="1"/>
                <w:iCs w:val="1"/>
                <w:sz w:val="22"/>
                <w:szCs w:val="22"/>
              </w:rPr>
            </w:pPr>
            <w:r w:rsidDel="00000000" w:rsidR="00000000" w:rsidRPr="00000000">
              <w:rPr>
                <w:b w:val="1"/>
                <w:bCs w:val="1"/>
                <w:i w:val="1"/>
                <w:iCs w:val="1"/>
                <w:sz w:val="22"/>
                <w:szCs w:val="22"/>
                <w:rtl w:val="0"/>
              </w:rPr>
              <w:t xml:space="preserve">Păsări</w:t>
            </w:r>
            <w:r w:rsidDel="00000000" w:rsidR="00000000" w:rsidRPr="00000000">
              <w:rPr>
                <w:i w:val="1"/>
                <w:iCs w:val="1"/>
                <w:sz w:val="22"/>
                <w:szCs w:val="22"/>
                <w:rtl w:val="0"/>
              </w:rPr>
              <w:t xml:space="preserve">:</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A109 Ciconia ciconia</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A110 Ciconia nigra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A041 Circaetus gallicus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A120 Porzana porzana</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A122 Crex crex</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Habitatele forestiere ripariene asigură conectivitatea ecologică a luncii și constituie zone tampon esențiale pentru reglarea fluxurilor hidrologice și pentru calitatea apei, găzduind comunități floristice și faunistice adaptate dinamicii aluviale. Pajiștile semi-naturale incluse în ZPB găzduiesc o comunitate floristică bogată și o faună de nevertebrate asociată — polenizatori, fluturi, ortoptere — esențiale pentru funcționarea ecosistemelor agricole învecinate. Caracterul lor semi-natural depinde de continuarea practicilor tradiționale (cosit, pășunat extensiv). Turbăriile sunt ecosisteme rare și fragile, cu rol important în stocarea carbonului și în reglarea regimului hidrologic local, găzduind o floră și faună specializată, adaptată condițiilor de oligotrofie.</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Habitatele forestiere ripariene contribuie la reglarea regimului hidrologic și la stocarea carbonului în soluri și biomasă. Turbăriile au un rol deosebit în stocarea carbonului pe termen lung, fiind rezervoare importante în contextul reglării climatice.</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ZPB se suprapune și cu o rezervație naturală, ceea ce stă la baza desemnării, alături de valoarea ecologică a ecosistemului în ansamblu.</w:t>
            </w:r>
          </w:p>
          <w:p w:rsidR="00000000" w:rsidDel="00000000" w:rsidP="00000000" w:rsidRDefault="00000000" w:rsidRPr="00000000" w14:paraId="0000009D">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incluse în rezervații naturale, precum și pe prezența speciilor de interes conservativ asociate.</w:t>
            </w:r>
          </w:p>
          <w:p w:rsidR="00000000" w:rsidDel="00000000" w:rsidP="00000000" w:rsidRDefault="00000000" w:rsidRPr="00000000" w14:paraId="0000009F">
            <w:pPr>
              <w:spacing w:after="0" w:line="240" w:lineRule="auto"/>
              <w:jc w:val="both"/>
              <w:rPr>
                <w:sz w:val="22"/>
                <w:szCs w:val="22"/>
              </w:rPr>
            </w:pPr>
            <w:r w:rsidDel="00000000" w:rsidR="00000000" w:rsidRPr="00000000">
              <w:rPr>
                <w:sz w:val="22"/>
                <w:szCs w:val="22"/>
                <w:rtl w:val="0"/>
              </w:rPr>
              <w:t xml:space="preserve">Desemnarea are la bază valoarea ecologică ridicată dată de prezența unor habitate și specii de interes conservativ.</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1">
            <w:pPr>
              <w:spacing w:after="0" w:lineRule="auto"/>
              <w:jc w:val="both"/>
              <w:rPr>
                <w:sz w:val="22"/>
                <w:szCs w:val="22"/>
              </w:rPr>
            </w:pPr>
            <w:r w:rsidDel="00000000" w:rsidR="00000000" w:rsidRPr="00000000">
              <w:rPr>
                <w:sz w:val="22"/>
                <w:szCs w:val="22"/>
                <w:rtl w:val="0"/>
              </w:rPr>
              <w:t xml:space="preserve">Creşterea animalelor şi zootehnia;</w:t>
            </w:r>
          </w:p>
          <w:p w:rsidR="00000000" w:rsidDel="00000000" w:rsidP="00000000" w:rsidRDefault="00000000" w:rsidRPr="00000000" w14:paraId="000000A2">
            <w:pPr>
              <w:spacing w:after="0" w:lineRule="auto"/>
              <w:jc w:val="both"/>
              <w:rPr>
                <w:sz w:val="22"/>
                <w:szCs w:val="22"/>
              </w:rPr>
            </w:pPr>
            <w:r w:rsidDel="00000000" w:rsidR="00000000" w:rsidRPr="00000000">
              <w:rPr>
                <w:sz w:val="22"/>
                <w:szCs w:val="22"/>
                <w:rtl w:val="0"/>
              </w:rPr>
              <w:t xml:space="preserve">Colectarea plantelor terestre şi a produselor din plante, altele decât cheresteaua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0A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0">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pajiști seminaturale</w:t>
            </w:r>
          </w:p>
          <w:p w:rsidR="00000000" w:rsidDel="00000000" w:rsidP="00000000" w:rsidRDefault="00000000" w:rsidRPr="00000000" w14:paraId="000000C1">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C2">
            <w:pPr>
              <w:spacing w:after="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3">
            <w:pPr>
              <w:spacing w:after="0" w:lineRule="auto"/>
              <w:jc w:val="both"/>
              <w:rPr>
                <w:sz w:val="22"/>
                <w:szCs w:val="22"/>
              </w:rPr>
            </w:pPr>
            <w:r w:rsidDel="00000000" w:rsidR="00000000" w:rsidRPr="00000000">
              <w:rPr>
                <w:sz w:val="22"/>
                <w:szCs w:val="22"/>
                <w:rtl w:val="0"/>
              </w:rPr>
              <w:t xml:space="preserve">Obiective specifice:</w:t>
            </w:r>
          </w:p>
          <w:p w:rsidR="00000000" w:rsidDel="00000000" w:rsidP="00000000" w:rsidRDefault="00000000" w:rsidRPr="00000000" w14:paraId="000000C4">
            <w:pPr>
              <w:spacing w:after="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5">
            <w:pPr>
              <w:spacing w:after="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6">
            <w:pPr>
              <w:spacing w:after="0" w:lineRule="auto"/>
              <w:jc w:val="both"/>
              <w:rPr>
                <w:sz w:val="22"/>
                <w:szCs w:val="22"/>
              </w:rPr>
            </w:pPr>
            <w:r w:rsidDel="00000000" w:rsidR="00000000" w:rsidRPr="00000000">
              <w:rPr>
                <w:sz w:val="22"/>
                <w:szCs w:val="22"/>
                <w:rtl w:val="0"/>
              </w:rPr>
              <w:t xml:space="preserve">3. Evitarea degradării habitatelor prin suprapășunat, subpășunat, compactarea solului și eroziune.</w:t>
            </w:r>
          </w:p>
          <w:p w:rsidR="00000000" w:rsidDel="00000000" w:rsidP="00000000" w:rsidRDefault="00000000" w:rsidRPr="00000000" w14:paraId="000000C7">
            <w:pPr>
              <w:spacing w:after="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8">
            <w:pPr>
              <w:spacing w:after="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9">
            <w:pPr>
              <w:spacing w:after="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A">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B">
            <w:pPr>
              <w:spacing w:after="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CC">
            <w:pPr>
              <w:spacing w:after="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CD">
            <w:pPr>
              <w:spacing w:after="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CE">
            <w:pPr>
              <w:spacing w:after="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0">
            <w:pPr>
              <w:spacing w:after="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1">
            <w:pPr>
              <w:spacing w:after="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2">
            <w:pPr>
              <w:spacing w:after="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3">
            <w:pPr>
              <w:spacing w:after="0" w:lineRule="auto"/>
              <w:jc w:val="both"/>
              <w:rPr>
                <w:sz w:val="22"/>
                <w:szCs w:val="22"/>
              </w:rPr>
            </w:pPr>
            <w:r w:rsidDel="00000000" w:rsidR="00000000" w:rsidRPr="00000000">
              <w:rPr>
                <w:sz w:val="22"/>
                <w:szCs w:val="22"/>
                <w:rtl w:val="0"/>
              </w:rPr>
              <w:t xml:space="preserve">9. Se evită atât suprapășunatul, cât și subpășunatul, precum și concentrarea excesivă a animalelor în zone sensibile ale habitatului.</w:t>
            </w:r>
          </w:p>
          <w:p w:rsidR="00000000" w:rsidDel="00000000" w:rsidP="00000000" w:rsidRDefault="00000000" w:rsidRPr="00000000" w14:paraId="000000D4">
            <w:pPr>
              <w:spacing w:after="0" w:lineRule="auto"/>
              <w:jc w:val="both"/>
              <w:rPr>
                <w:sz w:val="22"/>
                <w:szCs w:val="22"/>
              </w:rPr>
            </w:pPr>
            <w:r w:rsidDel="00000000" w:rsidR="00000000" w:rsidRPr="00000000">
              <w:rPr>
                <w:sz w:val="22"/>
                <w:szCs w:val="22"/>
                <w:rtl w:val="0"/>
              </w:rPr>
              <w:t xml:space="preserve">10.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5">
            <w:pPr>
              <w:spacing w:after="0" w:lineRule="auto"/>
              <w:jc w:val="both"/>
              <w:rPr>
                <w:sz w:val="22"/>
                <w:szCs w:val="22"/>
              </w:rPr>
            </w:pPr>
            <w:r w:rsidDel="00000000" w:rsidR="00000000" w:rsidRPr="00000000">
              <w:rPr>
                <w:sz w:val="22"/>
                <w:szCs w:val="22"/>
                <w:rtl w:val="0"/>
              </w:rPr>
              <w:t xml:space="preserve">11.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12. Târlitul se realizează controlat și cu schimbarea periodică a amplasamentelor, evitându-se apariția suprafețelor nitrofile și degradarea habitatului.</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13. Vegetația lemnoasă invadantă se îndepărtează selectiv și periodic, menținându-se elementele cu rol ecologic, antierozional sau de refugiu pentru specii.</w:t>
            </w:r>
          </w:p>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14. Speciile invazive se monitorizează și se controlează prin metode mecanice și măsuri cu impact redus asupra habitatelor naturale.</w:t>
            </w:r>
          </w:p>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15.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16. Se mențin structurile de habitat favorabile biodiversității, inclusiv tufărișurile dispersate, arborii izolați, gardurile vii și zonele de ecoton.</w:t>
            </w:r>
          </w:p>
          <w:p w:rsidR="00000000" w:rsidDel="00000000" w:rsidP="00000000" w:rsidRDefault="00000000" w:rsidRPr="00000000" w14:paraId="000000DB">
            <w:pPr>
              <w:spacing w:after="0" w:lineRule="auto"/>
              <w:jc w:val="both"/>
              <w:rPr>
                <w:sz w:val="22"/>
                <w:szCs w:val="22"/>
              </w:rPr>
            </w:pPr>
            <w:r w:rsidDel="00000000" w:rsidR="00000000" w:rsidRPr="00000000">
              <w:rPr>
                <w:sz w:val="22"/>
                <w:szCs w:val="22"/>
                <w:rtl w:val="0"/>
              </w:rPr>
              <w:t xml:space="preserve">17. Activitățile turistice și recreative se desfășoară fără afectarea habitatelor și a speciilor de interes conservativ.</w:t>
            </w:r>
          </w:p>
          <w:p w:rsidR="00000000" w:rsidDel="00000000" w:rsidP="00000000" w:rsidRDefault="00000000" w:rsidRPr="00000000" w14:paraId="000000DC">
            <w:pPr>
              <w:spacing w:after="0" w:lineRule="auto"/>
              <w:jc w:val="both"/>
              <w:rPr>
                <w:sz w:val="22"/>
                <w:szCs w:val="22"/>
              </w:rPr>
            </w:pPr>
            <w:r w:rsidDel="00000000" w:rsidR="00000000" w:rsidRPr="00000000">
              <w:rPr>
                <w:sz w:val="22"/>
                <w:szCs w:val="22"/>
                <w:rtl w:val="0"/>
              </w:rPr>
              <w:t xml:space="preserve">18.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C">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D">
            <w:pPr>
              <w:spacing w:after="0" w:lineRule="auto"/>
              <w:jc w:val="both"/>
              <w:rPr>
                <w:sz w:val="22"/>
                <w:szCs w:val="22"/>
              </w:rPr>
            </w:pPr>
            <w:r w:rsidDel="00000000" w:rsidR="00000000" w:rsidRPr="00000000">
              <w:rPr>
                <w:rtl w:val="0"/>
              </w:rPr>
            </w:r>
          </w:p>
          <w:p w:rsidR="00000000" w:rsidDel="00000000" w:rsidP="00000000" w:rsidRDefault="00000000" w:rsidRPr="00000000" w14:paraId="000000DE">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de mlaștini și turbării</w:t>
            </w:r>
          </w:p>
          <w:p w:rsidR="00000000" w:rsidDel="00000000" w:rsidP="00000000" w:rsidRDefault="00000000" w:rsidRPr="00000000" w14:paraId="000000DF">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E0">
            <w:pPr>
              <w:spacing w:after="0" w:lineRule="auto"/>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E1">
            <w:pPr>
              <w:spacing w:after="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sz w:val="22"/>
                <w:szCs w:val="22"/>
                <w:rtl w:val="0"/>
              </w:rPr>
              <w:t xml:space="preserve">:</w:t>
            </w:r>
          </w:p>
          <w:p w:rsidR="00000000" w:rsidDel="00000000" w:rsidP="00000000" w:rsidRDefault="00000000" w:rsidRPr="00000000" w14:paraId="000000E2">
            <w:pPr>
              <w:spacing w:after="0" w:lineRule="auto"/>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E3">
            <w:pPr>
              <w:spacing w:after="0" w:lineRule="auto"/>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E4">
            <w:pPr>
              <w:spacing w:after="0" w:lineRule="auto"/>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E5">
            <w:pPr>
              <w:spacing w:after="0" w:lineRule="auto"/>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E6">
            <w:pPr>
              <w:spacing w:after="0" w:lineRule="auto"/>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E7">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E8">
            <w:pPr>
              <w:spacing w:after="0" w:lineRule="auto"/>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E9">
            <w:pPr>
              <w:spacing w:after="0" w:lineRule="auto"/>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EA">
            <w:pPr>
              <w:spacing w:after="0" w:lineRule="auto"/>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EB">
            <w:pPr>
              <w:spacing w:after="0" w:lineRule="auto"/>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EC">
            <w:pPr>
              <w:spacing w:after="0" w:lineRule="auto"/>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ED">
            <w:pPr>
              <w:spacing w:after="0" w:lineRule="auto"/>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ED">
            <w:pPr>
              <w:spacing w:after="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E">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F">
            <w:pPr>
              <w:spacing w:after="0" w:lineRule="auto"/>
              <w:rPr/>
            </w:pPr>
            <w:r w:rsidDel="00000000" w:rsidR="00000000" w:rsidRPr="00000000">
              <w:rPr>
                <w:sz w:val="22"/>
                <w:szCs w:val="22"/>
                <w:rtl w:val="0"/>
              </w:rPr>
              <w:t xml:space="preserve">necunoscută</w:t>
            </w:r>
            <w:r w:rsidDel="00000000" w:rsidR="00000000" w:rsidRPr="00000000">
              <w:rPr>
                <w:rtl w:val="0"/>
              </w:rPr>
            </w:r>
          </w:p>
        </w:tc>
      </w:tr>
    </w:tbl>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F2">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Gergely I., colab., 1973, Vegetaţia mlaştinilor eutrofe din bazinul superior al Ciucului, Contrib. Bot. Cluj: 143-165</w:t>
      </w:r>
    </w:p>
    <w:p w:rsidR="00000000" w:rsidDel="00000000" w:rsidP="00000000" w:rsidRDefault="00000000" w:rsidRPr="00000000" w14:paraId="000000F3">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Kristó A., 1958, Plante rare şi relicte ce trebuie ocrotite în mlaştinile de la Sâncrăieni „Borsáros”, Ocr. nat., 3: 154-157 + o hartă</w:t>
      </w:r>
    </w:p>
    <w:p w:rsidR="00000000" w:rsidDel="00000000" w:rsidP="00000000" w:rsidRDefault="00000000" w:rsidRPr="00000000" w14:paraId="000000F4">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Kovács Al., colab., 1979, Sesleria uliginosa Opiz în bazinul inferior al Ciucului (Jud. Harghita), Contrib. Bot. Cluj: 155-161 + 2 fig. + un tab.</w:t>
      </w:r>
    </w:p>
    <w:p w:rsidR="00000000" w:rsidDel="00000000" w:rsidP="00000000" w:rsidRDefault="00000000" w:rsidRPr="00000000" w14:paraId="000000F5">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Pop Em., 1954, Studii botanice în mlaştinile noastre de turbă, Bul. Şt., Acad. R.P.R., Secţ. Şt. Biol., Agron., Geol., Geogr., VI, 1: 347-406 + 8 fig.</w:t>
      </w:r>
    </w:p>
    <w:p w:rsidR="00000000" w:rsidDel="00000000" w:rsidP="00000000" w:rsidRDefault="00000000" w:rsidRPr="00000000" w14:paraId="000000F6">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Pop Em., 1956, Noi contribuţii cu privire la mlaştinile şi plantele turbicole din R.P.R., Bul. Şt., Acad. R.P.R., Secţ. Biol., Şt. Agr., VIII, 1: 47-68 + 6 foto + o hartă</w:t>
      </w:r>
    </w:p>
    <w:p w:rsidR="00000000" w:rsidDel="00000000" w:rsidP="00000000" w:rsidRDefault="00000000" w:rsidRPr="00000000" w14:paraId="000000F7">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Sârbu A., Sârbu I., Oprea Ad., Negrean G., Cristea V., Coldea Gh., Cristurean I., Popescu Gh., Oroian S., Tănase C., Bartók K., Gafta D., Anastasiu P., Crişan Fl., Costache I., Goia I., Maruşca Th., Oţel V., Sămărghiţan M., Henţea S., Pascale G., Răduţoiu D., Baz Ad., Boruz v., Puşcas M., Hiriţiu M. &amp; Frink J. 2007. Arii speciale pentru protecţia şi conservarea plantelor în România. Bucureşti, Ed. Victor B. Victor, 396 p. </w:t>
      </w:r>
    </w:p>
    <w:p w:rsidR="00000000" w:rsidDel="00000000" w:rsidP="00000000" w:rsidRDefault="00000000" w:rsidRPr="00000000" w14:paraId="000000F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F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FA">
      <w:pPr>
        <w:pBdr>
          <w:top w:color="000000" w:space="0" w:sz="4" w:val="single"/>
          <w:left w:color="000000" w:space="0" w:sz="4" w:val="single"/>
          <w:bottom w:color="000000" w:space="1" w:sz="4" w:val="single"/>
          <w:right w:color="000000" w:space="0" w:sz="4" w:val="single"/>
          <w:between w:color="000000" w:space="0" w:sz="4" w:val="single"/>
        </w:pBdr>
        <w:spacing w:after="240" w:before="240" w:line="240" w:lineRule="auto"/>
        <w:jc w:val="both"/>
        <w:rPr>
          <w:sz w:val="22"/>
          <w:szCs w:val="22"/>
        </w:rPr>
      </w:pPr>
      <w:r w:rsidDel="00000000" w:rsidR="00000000" w:rsidRPr="00000000">
        <w:rPr>
          <w:sz w:val="22"/>
          <w:szCs w:val="22"/>
          <w:rtl w:val="0"/>
        </w:rPr>
        <w:t xml:space="preserve">Consultări publice realizate: 18 iunie 2025 – Harghita. Ulterior, în cadrul procesului de consultare extins la nivel național, au avut loc consultări suplimentare online, în data de 19 ianuarie 2026 cu participarea factorilor interesați relevanți din județul Harghita și apoi în 26 -27 martie 2026  au avut loc consultări publice la Prefectura Harghita.</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FD">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E">
      <w:pPr>
        <w:rPr/>
      </w:pPr>
      <w:r w:rsidDel="00000000" w:rsidR="00000000" w:rsidRPr="00000000">
        <w:rPr>
          <w:sz w:val="22"/>
          <w:szCs w:val="22"/>
          <w:rtl w:val="0"/>
        </w:rPr>
        <w:t xml:space="preserve">Link: </w:t>
      </w:r>
      <w:r w:rsidDel="00000000" w:rsidR="00000000" w:rsidRPr="00000000">
        <w:rPr>
          <w:color w:val="0000ff"/>
          <w:sz w:val="22"/>
          <w:szCs w:val="22"/>
          <w:u w:val="single"/>
          <w:rtl w:val="0"/>
        </w:rPr>
        <w:t xml:space="preserve">https://mmediu.ro/domenii/mediu/arii-naturale-protejate/zpb-pnrr-i-3/</w:t>
      </w: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rFonts w:ascii="Calibri" w:cs="Calibri" w:eastAsia="Calibri" w:hAnsi="Calibri"/>
      <w:color w:val="2f5496"/>
      <w:sz w:val="28"/>
      <w:szCs w:val="28"/>
    </w:rPr>
  </w:style>
  <w:style w:type="paragraph" w:styleId="Heading4">
    <w:name w:val="heading 4"/>
    <w:basedOn w:val="Normal"/>
    <w:next w:val="Normal"/>
    <w:pPr>
      <w:keepNext w:val="1"/>
      <w:keepLines w:val="1"/>
      <w:spacing w:after="40" w:before="80" w:lineRule="auto"/>
    </w:pPr>
    <w:rPr>
      <w:rFonts w:ascii="Calibri" w:cs="Calibri" w:eastAsia="Calibri" w:hAnsi="Calibri"/>
      <w:i w:val="1"/>
      <w:iCs w:val="1"/>
      <w:color w:val="2f5496"/>
      <w:sz w:val="22"/>
      <w:szCs w:val="22"/>
    </w:rPr>
  </w:style>
  <w:style w:type="paragraph" w:styleId="Heading5">
    <w:name w:val="heading 5"/>
    <w:basedOn w:val="Normal"/>
    <w:next w:val="Normal"/>
    <w:pPr>
      <w:keepNext w:val="1"/>
      <w:keepLines w:val="1"/>
      <w:spacing w:after="40" w:before="80" w:lineRule="auto"/>
    </w:pPr>
    <w:rPr>
      <w:rFonts w:ascii="Calibri" w:cs="Calibri" w:eastAsia="Calibri" w:hAnsi="Calibri"/>
      <w:color w:val="2f5496"/>
      <w:sz w:val="22"/>
      <w:szCs w:val="22"/>
    </w:rPr>
  </w:style>
  <w:style w:type="paragraph" w:styleId="Heading6">
    <w:name w:val="heading 6"/>
    <w:basedOn w:val="Normal"/>
    <w:next w:val="Normal"/>
    <w:pPr>
      <w:keepNext w:val="1"/>
      <w:keepLines w:val="1"/>
      <w:spacing w:after="0" w:before="40" w:lineRule="auto"/>
    </w:pPr>
    <w:rPr>
      <w:rFonts w:ascii="Calibri" w:cs="Calibri" w:eastAsia="Calibri" w:hAnsi="Calibri"/>
      <w:i w:val="1"/>
      <w:iCs w:val="1"/>
      <w:color w:val="595959"/>
      <w:sz w:val="22"/>
      <w:szCs w:val="22"/>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rFonts w:ascii="Calibri" w:cs="Calibri" w:eastAsia="Calibri" w:hAnsi="Calibri"/>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uIV3WupqisKJHcDA6rK3A4sBV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Mg1oLjNpZW1tbm9iMXozOAByITFyZTZ2UmNzdDVUV2tYQkFrS2VIeFBIY2R6UVNJYy0w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